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PLANTILLA (FORMATO) DE LA CARTA PARA CONTACTAR A LA MESA DIRECTIVA DE EDUCACIÓN DE SDUSD</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(Fecha)</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Board of Education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 Diego Unified School District </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4100 Normal Street </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 Diego, CA 92103</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Estimada Mesa Directiva de Educación,</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 llamo (Nombre) y soy un (estudiante/padre/miembro del personal) de Gompers Preparatory Academy.  Escribo para pedirle que reviertan la decisión de revocar los derechos de en préstamo (on loan) de nuestros fundadores, Vince Riveroll, Lisa Maples, Judith Franceschi y Paz García-Ramírez.</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2004, el Distrito pidió a algunos de sus mejores empleados, cuatro de los cuales hoy en día siguen trabajando en GPA, que se quedaran en Gompers charter en lugar de trabajar para una escuela del Distrito. El Distrito Escolar SDUSD prometió a estos líderes fundadores que si trabajaban en la nueva escuela autónoma, podrían ser puestos en un estatus de empleo "en préstamo" durante la vida del estatuto de la escuela autónoma.</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Forzar a estos fundadores de GPA a elegir entre GPA y el Distrito es un ataque directo a la capacidad de GPA de continuar sirviendo a nuestra comunidad escolar.</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 FAVOR REINSTALEN A NUESTROS EMPLEADOS EN PRÉSTAMO Y SALVEN A GPA!</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(Nombre)</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